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DOCUMENTOS DAS AUTORAS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1620"/>
        <w:gridCol w:w="1845"/>
        <w:gridCol w:w="2520"/>
        <w:gridCol w:w="1785"/>
        <w:gridCol w:w="2100"/>
        <w:tblGridChange w:id="0">
          <w:tblGrid>
            <w:gridCol w:w="5115"/>
            <w:gridCol w:w="1620"/>
            <w:gridCol w:w="1845"/>
            <w:gridCol w:w="2520"/>
            <w:gridCol w:w="1785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Ficha de inscrição (anexo 3), devidamente preenchida;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autodeclaração referente ao perfil requerido pelo edital, conforme modelo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(anexo 4);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e) curriculum vitae gerado da Plataforma Lattes do Conselho Nacional de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Desenvolvimento Científico e Tecnológico (CNPq), 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em versão completa,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atualizado há menos de 90 (noventa) dias;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g) termo de cessão de imagens (se houver);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h) no caso de coletâneas, lista com os nomes dos autores (nome e e-mail) e seus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respectivos capítulos em folha separada.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Ramos da Silva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Célia Maria Patriarca Lisbôa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Alessandra Mendes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Jacqueline Miranda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</w:t>
            </w:r>
            <w:r w:rsidDel="00000000" w:rsidR="00000000" w:rsidRPr="00000000">
              <w:rPr>
                <w:rtl w:val="0"/>
              </w:rPr>
              <w:t xml:space="preserve">Leandra Souza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